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1655" w:rsidRDefault="00B21655" w:rsidP="00B21655">
      <w:pPr>
        <w:rPr>
          <w:rFonts w:ascii="Bookman Old Style" w:hAnsi="Bookman Old Style"/>
          <w:b/>
          <w:i/>
          <w:sz w:val="18"/>
          <w:szCs w:val="18"/>
        </w:rPr>
      </w:pPr>
      <w:r>
        <w:rPr>
          <w:rFonts w:ascii="Bookman Old Style" w:hAnsi="Bookman Old Style"/>
          <w:b/>
          <w:i/>
          <w:sz w:val="18"/>
          <w:szCs w:val="18"/>
        </w:rPr>
        <w:t>Załącznik nr 6</w:t>
      </w:r>
    </w:p>
    <w:p w:rsidR="00B21655" w:rsidRPr="002A5220" w:rsidRDefault="00B21655" w:rsidP="00B21655">
      <w:pPr>
        <w:jc w:val="center"/>
        <w:rPr>
          <w:rFonts w:ascii="Bookman Old Style" w:hAnsi="Bookman Old Style"/>
          <w:b/>
          <w:i/>
          <w:sz w:val="18"/>
          <w:szCs w:val="18"/>
        </w:rPr>
      </w:pPr>
      <w:r w:rsidRPr="002A5220">
        <w:rPr>
          <w:rFonts w:ascii="Bookman Old Style" w:hAnsi="Bookman Old Style"/>
          <w:b/>
          <w:i/>
          <w:sz w:val="18"/>
          <w:szCs w:val="18"/>
        </w:rPr>
        <w:t>Specyfikacja techniczna oferowanego sprzętu</w:t>
      </w:r>
    </w:p>
    <w:p w:rsidR="00B21655" w:rsidRPr="002A5220" w:rsidRDefault="00B21655" w:rsidP="00B21655">
      <w:pPr>
        <w:jc w:val="both"/>
        <w:rPr>
          <w:rFonts w:ascii="Bookman Old Style" w:hAnsi="Bookman Old Style"/>
          <w:b/>
          <w:i/>
          <w:sz w:val="18"/>
          <w:szCs w:val="18"/>
        </w:rPr>
      </w:pPr>
      <w:r w:rsidRPr="002A5220">
        <w:rPr>
          <w:rFonts w:ascii="Bookman Old Style" w:hAnsi="Bookman Old Style"/>
          <w:b/>
          <w:i/>
          <w:sz w:val="18"/>
          <w:szCs w:val="18"/>
        </w:rPr>
        <w:t>WYKONAWCA ……………………………………………………………………………………………………………………………..</w:t>
      </w:r>
      <w:r>
        <w:rPr>
          <w:rFonts w:ascii="Bookman Old Style" w:hAnsi="Bookman Old Style"/>
          <w:b/>
          <w:i/>
          <w:sz w:val="18"/>
          <w:szCs w:val="18"/>
        </w:rPr>
        <w:t>……</w:t>
      </w:r>
    </w:p>
    <w:p w:rsidR="00B21655" w:rsidRPr="00724C76" w:rsidRDefault="00B21655" w:rsidP="00B21655">
      <w:pPr>
        <w:jc w:val="both"/>
        <w:rPr>
          <w:rFonts w:ascii="Bookman Old Style" w:hAnsi="Bookman Old Style"/>
          <w:b/>
          <w:i/>
          <w:sz w:val="18"/>
          <w:szCs w:val="18"/>
        </w:rPr>
      </w:pPr>
      <w:r w:rsidRPr="002A5220">
        <w:rPr>
          <w:rFonts w:ascii="Bookman Old Style" w:hAnsi="Bookman Old Style"/>
          <w:b/>
          <w:i/>
          <w:sz w:val="18"/>
          <w:szCs w:val="18"/>
        </w:rPr>
        <w:t>…………………………………………………………</w:t>
      </w:r>
      <w:r>
        <w:rPr>
          <w:rFonts w:ascii="Bookman Old Style" w:hAnsi="Bookman Old Style"/>
          <w:b/>
          <w:i/>
          <w:sz w:val="18"/>
          <w:szCs w:val="18"/>
        </w:rPr>
        <w:t>…………………………………………………………………………</w:t>
      </w:r>
      <w:bookmarkStart w:id="0" w:name="_GoBack"/>
      <w:bookmarkEnd w:id="0"/>
    </w:p>
    <w:p w:rsidR="00B21655" w:rsidRPr="00724C76" w:rsidRDefault="00B21655" w:rsidP="00B21655">
      <w:pPr>
        <w:suppressAutoHyphens/>
        <w:jc w:val="both"/>
        <w:rPr>
          <w:rFonts w:ascii="Bookman Old Style" w:hAnsi="Bookman Old Style"/>
          <w:sz w:val="18"/>
          <w:szCs w:val="18"/>
          <w:lang w:eastAsia="ar-SA"/>
        </w:rPr>
      </w:pPr>
      <w:r w:rsidRPr="002A5220">
        <w:rPr>
          <w:rFonts w:ascii="Bookman Old Style" w:hAnsi="Bookman Old Style"/>
          <w:sz w:val="18"/>
          <w:szCs w:val="18"/>
          <w:lang w:eastAsia="ar-SA"/>
        </w:rPr>
        <w:t xml:space="preserve">Poniższe tabela określają minimalne parametry oferowanego sprzętu, których Zamawiający bezwzględnie wymaga. </w:t>
      </w:r>
    </w:p>
    <w:p w:rsidR="00B21655" w:rsidRDefault="00B21655" w:rsidP="00B21655">
      <w:pPr>
        <w:widowControl w:val="0"/>
        <w:spacing w:line="259" w:lineRule="atLeast"/>
        <w:ind w:right="72"/>
        <w:rPr>
          <w:rFonts w:ascii="Bookman Old Style" w:hAnsi="Bookman Old Style"/>
          <w:b/>
          <w:sz w:val="18"/>
          <w:szCs w:val="18"/>
        </w:rPr>
      </w:pPr>
      <w:r w:rsidRPr="002A5220">
        <w:rPr>
          <w:rFonts w:ascii="Bookman Old Style" w:hAnsi="Bookman Old Style"/>
          <w:b/>
          <w:sz w:val="18"/>
          <w:szCs w:val="18"/>
          <w:lang w:eastAsia="ar-SA"/>
        </w:rPr>
        <w:t>Przedmiot zamów</w:t>
      </w:r>
      <w:r>
        <w:rPr>
          <w:rFonts w:ascii="Bookman Old Style" w:hAnsi="Bookman Old Style"/>
          <w:b/>
          <w:sz w:val="18"/>
          <w:szCs w:val="18"/>
          <w:lang w:eastAsia="ar-SA"/>
        </w:rPr>
        <w:t xml:space="preserve">ienia: </w:t>
      </w:r>
      <w:r w:rsidRPr="002A5220">
        <w:rPr>
          <w:rFonts w:ascii="Bookman Old Style" w:hAnsi="Bookman Old Style"/>
          <w:b/>
          <w:sz w:val="18"/>
          <w:szCs w:val="18"/>
          <w:lang w:eastAsia="ar-SA"/>
        </w:rPr>
        <w:t xml:space="preserve"> </w:t>
      </w:r>
      <w:r>
        <w:rPr>
          <w:rFonts w:ascii="Bookman Old Style" w:hAnsi="Bookman Old Style"/>
          <w:b/>
          <w:sz w:val="18"/>
          <w:szCs w:val="18"/>
        </w:rPr>
        <w:t>Dostawa łóżka porodowego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48"/>
        <w:gridCol w:w="6512"/>
      </w:tblGrid>
      <w:tr w:rsidR="00B21655" w:rsidRPr="00557812" w:rsidTr="00C52F85">
        <w:trPr>
          <w:trHeight w:val="459"/>
        </w:trPr>
        <w:tc>
          <w:tcPr>
            <w:tcW w:w="1406" w:type="pct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Producent</w:t>
            </w: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:</w:t>
            </w:r>
          </w:p>
        </w:tc>
        <w:tc>
          <w:tcPr>
            <w:tcW w:w="3594" w:type="pct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rPr>
          <w:trHeight w:val="320"/>
        </w:trPr>
        <w:tc>
          <w:tcPr>
            <w:tcW w:w="1406" w:type="pct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Oferowany model:</w:t>
            </w:r>
          </w:p>
        </w:tc>
        <w:tc>
          <w:tcPr>
            <w:tcW w:w="3594" w:type="pct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rPr>
          <w:trHeight w:val="320"/>
        </w:trPr>
        <w:tc>
          <w:tcPr>
            <w:tcW w:w="1406" w:type="pct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Kraj pochodzenia:</w:t>
            </w:r>
          </w:p>
        </w:tc>
        <w:tc>
          <w:tcPr>
            <w:tcW w:w="3594" w:type="pct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rPr>
          <w:trHeight w:val="320"/>
        </w:trPr>
        <w:tc>
          <w:tcPr>
            <w:tcW w:w="1406" w:type="pct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 xml:space="preserve">Rok produkcji: </w:t>
            </w:r>
          </w:p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2018r</w:t>
            </w:r>
          </w:p>
        </w:tc>
        <w:tc>
          <w:tcPr>
            <w:tcW w:w="3594" w:type="pct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</w:tbl>
    <w:p w:rsidR="00B21655" w:rsidRPr="00557812" w:rsidRDefault="00B21655" w:rsidP="00B21655">
      <w:pPr>
        <w:pStyle w:val="Timesnewroman"/>
        <w:rPr>
          <w:rStyle w:val="HTML-akronim"/>
          <w:rFonts w:ascii="Bookman Old Style" w:hAnsi="Bookman Old Style"/>
          <w:sz w:val="18"/>
          <w:szCs w:val="18"/>
        </w:rPr>
      </w:pP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4"/>
        <w:gridCol w:w="5629"/>
        <w:gridCol w:w="1254"/>
        <w:gridCol w:w="1723"/>
      </w:tblGrid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Lp.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Opis parametrów wymaganych</w:t>
            </w:r>
          </w:p>
        </w:tc>
        <w:tc>
          <w:tcPr>
            <w:tcW w:w="693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Parametr wymagany</w:t>
            </w:r>
          </w:p>
        </w:tc>
        <w:tc>
          <w:tcPr>
            <w:tcW w:w="952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Potwierdzenie spełnienia warunku /</w:t>
            </w:r>
          </w:p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opisać</w:t>
            </w:r>
          </w:p>
        </w:tc>
      </w:tr>
      <w:tr w:rsidR="00B21655" w:rsidRPr="00557812" w:rsidTr="00C52F85">
        <w:tc>
          <w:tcPr>
            <w:tcW w:w="5000" w:type="pct"/>
            <w:gridSpan w:val="4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Wymagania ogólne</w:t>
            </w: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Łóżko porodowe przeznaczone na oddział położniczo - ginekologiczny zapewniające pobyt pacjentki w czasie porodu, a także w czasie połogu. </w:t>
            </w:r>
            <w:r w:rsidRPr="00557812">
              <w:rPr>
                <w:rFonts w:ascii="Bookman Old Style" w:hAnsi="Bookman Old Style"/>
                <w:sz w:val="18"/>
                <w:szCs w:val="18"/>
              </w:rPr>
              <w:br/>
              <w:t xml:space="preserve">Możliwość  ustawienia pacjentki we wszystkich pozycjach porodu: klasycznej, siedzące , bocznej, klęczącej, </w:t>
            </w:r>
            <w:proofErr w:type="spellStart"/>
            <w:r w:rsidRPr="00557812">
              <w:rPr>
                <w:rFonts w:ascii="Bookman Old Style" w:hAnsi="Bookman Old Style"/>
                <w:sz w:val="18"/>
                <w:szCs w:val="18"/>
              </w:rPr>
              <w:t>kucznej</w:t>
            </w:r>
            <w:proofErr w:type="spellEnd"/>
            <w:r w:rsidRPr="00557812">
              <w:rPr>
                <w:rFonts w:ascii="Bookman Old Style" w:hAnsi="Bookman Old Style"/>
                <w:sz w:val="18"/>
                <w:szCs w:val="18"/>
              </w:rPr>
              <w:t>, będąc wspomaganym przez partnera, ustawienie pacjentki do zabiegów anestezjologicznych, w połogu.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 </w:t>
            </w: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Konstrukcja łóżka kolumnowa gwarantująca łatwą dezynfekcję i walkę z infekcjami. Leże oparte na jednej kolumnie prostopadłościennej osadzonej asymetrycznie względem podstawy</w:t>
            </w:r>
            <w:r w:rsidRPr="00557812">
              <w:rPr>
                <w:rFonts w:ascii="Bookman Old Style" w:hAnsi="Bookman Old Style"/>
                <w:sz w:val="18"/>
                <w:szCs w:val="18"/>
              </w:rPr>
              <w:br/>
              <w:t>Konstrukcja umożliwiająca całkowite, dokładne wyczyszczenie łóżka w przeciągu maksymalnie do 10 minut.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3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Długość łóżka porodowego wraz z materacem w zakresie 2000-2100mm.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 </w:t>
            </w: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4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Szerokość łóżka porodowego w zakresie 1000-1100mm.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 </w:t>
            </w: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5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Sterownik ręczny, elektrycznymi regulacjami: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- kąta nachylenia segmentu pleców,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- kąta nachylenia segmentem siedziska,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- wysokości 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lastRenderedPageBreak/>
              <w:t>6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Elektryczna regulacja wysokości łóżka w zakresie 600 - </w:t>
            </w:r>
            <w:smartTag w:uri="urn:schemas-microsoft-com:office:smarttags" w:element="metricconverter">
              <w:smartTagPr>
                <w:attr w:name="ProductID" w:val="900 mm"/>
              </w:smartTagPr>
              <w:r w:rsidRPr="00557812">
                <w:rPr>
                  <w:rFonts w:ascii="Bookman Old Style" w:hAnsi="Bookman Old Style"/>
                  <w:sz w:val="18"/>
                  <w:szCs w:val="18"/>
                </w:rPr>
                <w:t>900 mm</w:t>
              </w:r>
            </w:smartTag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 (+/- </w:t>
            </w:r>
            <w:smartTag w:uri="urn:schemas-microsoft-com:office:smarttags" w:element="metricconverter">
              <w:smartTagPr>
                <w:attr w:name="ProductID" w:val="20 mm"/>
              </w:smartTagPr>
              <w:r w:rsidRPr="00557812">
                <w:rPr>
                  <w:rFonts w:ascii="Bookman Old Style" w:hAnsi="Bookman Old Style"/>
                  <w:sz w:val="18"/>
                  <w:szCs w:val="18"/>
                </w:rPr>
                <w:t>20 mm</w:t>
              </w:r>
            </w:smartTag>
            <w:r w:rsidRPr="00557812">
              <w:rPr>
                <w:rFonts w:ascii="Bookman Old Style" w:hAnsi="Bookman Old Style"/>
                <w:sz w:val="18"/>
                <w:szCs w:val="18"/>
              </w:rPr>
              <w:t>) liczonym od powierzchni materaca.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7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Elektryczna regulacja podnoszenia i opuszczania oparcia pleców w zakresie od - 17°</w:t>
            </w:r>
            <w:r w:rsidRPr="00557812">
              <w:rPr>
                <w:rFonts w:ascii="Bookman Old Style" w:hAnsi="Bookman Old Style"/>
                <w:sz w:val="18"/>
                <w:szCs w:val="18"/>
                <w:vertAlign w:val="superscript"/>
              </w:rPr>
              <w:t xml:space="preserve"> </w:t>
            </w:r>
            <w:r w:rsidRPr="00557812">
              <w:rPr>
                <w:rFonts w:ascii="Bookman Old Style" w:hAnsi="Bookman Old Style"/>
                <w:sz w:val="18"/>
                <w:szCs w:val="18"/>
              </w:rPr>
              <w:t>do 70°</w:t>
            </w:r>
            <w:r w:rsidRPr="00557812">
              <w:rPr>
                <w:rFonts w:ascii="Bookman Old Style" w:hAnsi="Bookman Old Style"/>
                <w:sz w:val="18"/>
                <w:szCs w:val="18"/>
                <w:vertAlign w:val="superscript"/>
              </w:rPr>
              <w:t xml:space="preserve"> </w:t>
            </w: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 (+/- 5°).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8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Elektryczna , oddzielna regulacja nachylenia siedziska w zakresie od 0°</w:t>
            </w:r>
            <w:r w:rsidRPr="00557812">
              <w:rPr>
                <w:rFonts w:ascii="Bookman Old Style" w:hAnsi="Bookman Old Style"/>
                <w:sz w:val="18"/>
                <w:szCs w:val="18"/>
                <w:vertAlign w:val="superscript"/>
              </w:rPr>
              <w:t xml:space="preserve"> </w:t>
            </w:r>
            <w:r w:rsidRPr="00557812">
              <w:rPr>
                <w:rFonts w:ascii="Bookman Old Style" w:hAnsi="Bookman Old Style"/>
                <w:sz w:val="18"/>
                <w:szCs w:val="18"/>
              </w:rPr>
              <w:t>do 25° (+/- 5°).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9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Segment nożny leża z regulacją: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- wysokości, 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- położenia wzdłużnego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- kąta nachylenia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Oraz możliwością całkowitego wsunięcia pod siedzisko wraz z materacem. Regulacja kąta nachylenia w zakresie min. 0–25°. 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10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Możliwość ustawienia łóżka w pozycji </w:t>
            </w:r>
            <w:proofErr w:type="spellStart"/>
            <w:r w:rsidRPr="00557812">
              <w:rPr>
                <w:rFonts w:ascii="Bookman Old Style" w:hAnsi="Bookman Old Style"/>
                <w:sz w:val="18"/>
                <w:szCs w:val="18"/>
              </w:rPr>
              <w:t>Trendelenburga</w:t>
            </w:r>
            <w:proofErr w:type="spellEnd"/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 -15° (+/- 5°)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11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Możliwość ręcznego opuszczenia oparcia – funkcja CPR segmentu pleców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12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Łóżko przejezdne, podstawa jezdna zapewnia stabilność i mobilność łóżka. Możliwość centralnej blokady kół oraz wyposażenie w funkcję jazdy „na wprost”. 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13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Łóżko wyposażone w bezszwowe materace wykonane ze specjalnego antybakteryjnego materiału odpornego na promieniowanie UV . Grubość materaców maksymalnie </w:t>
            </w:r>
            <w:smartTag w:uri="urn:schemas-microsoft-com:office:smarttags" w:element="metricconverter">
              <w:smartTagPr>
                <w:attr w:name="ProductID" w:val="80 mm"/>
              </w:smartTagPr>
              <w:r w:rsidRPr="00557812">
                <w:rPr>
                  <w:rFonts w:ascii="Bookman Old Style" w:hAnsi="Bookman Old Style"/>
                  <w:sz w:val="18"/>
                  <w:szCs w:val="18"/>
                </w:rPr>
                <w:t>80 mm</w:t>
              </w:r>
            </w:smartTag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. 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Materace powinny być lekkie, żeby były łatwe podczas dezynfekcji.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14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Materac w segmencie siedzenia z wycięciem klinowym.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15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Materace odejmowane, zabezpieczone silikonem od spodu (w celu zapobiegania wnikania cieczy), wzmocnione płytą z kompozytu oraz stabilizowane na leżu za pomocą tworzywowych </w:t>
            </w:r>
            <w:proofErr w:type="spellStart"/>
            <w:r w:rsidRPr="00557812">
              <w:rPr>
                <w:rFonts w:ascii="Bookman Old Style" w:hAnsi="Bookman Old Style"/>
                <w:sz w:val="18"/>
                <w:szCs w:val="18"/>
              </w:rPr>
              <w:t>pinów</w:t>
            </w:r>
            <w:proofErr w:type="spellEnd"/>
            <w:r w:rsidRPr="00557812">
              <w:rPr>
                <w:rFonts w:ascii="Bookman Old Style" w:hAnsi="Bookman Old Style"/>
                <w:sz w:val="18"/>
                <w:szCs w:val="18"/>
              </w:rPr>
              <w:t>/bolców wsuwanych w otwory w leżu.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16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Łóżko posiadające regulowane podkolanniki z zintegrowanymi uchwytami rąk. Podkolanniki mogą być ustawione także jako podpory stóp w zależności od  pozycji. 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lastRenderedPageBreak/>
              <w:t>17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Podkolanniki zaciskane na zasadach zębatek dopasowujących się do siebie i trwale zabezpieczających ustawioną pozycję. 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18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Łóżko  wyposażone w: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- miskę z możliwością demontażu  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- oraz podgłówek z regulacją wysokości.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19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W górnej części segmentu pleców tapicerowany uchwyt do podtrzymywania się pacjentki.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20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Całkowite robocze obciążenie łóżka  min. </w:t>
            </w:r>
            <w:smartTag w:uri="urn:schemas-microsoft-com:office:smarttags" w:element="metricconverter">
              <w:smartTagPr>
                <w:attr w:name="ProductID" w:val="240 kg"/>
              </w:smartTagPr>
              <w:r w:rsidRPr="00557812">
                <w:rPr>
                  <w:rFonts w:ascii="Bookman Old Style" w:hAnsi="Bookman Old Style"/>
                  <w:sz w:val="18"/>
                  <w:szCs w:val="18"/>
                </w:rPr>
                <w:t>240 kg</w:t>
              </w:r>
            </w:smartTag>
            <w:r w:rsidRPr="00557812">
              <w:rPr>
                <w:rFonts w:ascii="Bookman Old Style" w:hAnsi="Bookman Old Style"/>
                <w:sz w:val="18"/>
                <w:szCs w:val="18"/>
              </w:rPr>
              <w:t>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21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Maksymalna waga pacjenta min. </w:t>
            </w:r>
            <w:smartTag w:uri="urn:schemas-microsoft-com:office:smarttags" w:element="metricconverter">
              <w:smartTagPr>
                <w:attr w:name="ProductID" w:val="190 kg"/>
              </w:smartTagPr>
              <w:r w:rsidRPr="00557812">
                <w:rPr>
                  <w:rFonts w:ascii="Bookman Old Style" w:hAnsi="Bookman Old Style"/>
                  <w:sz w:val="18"/>
                  <w:szCs w:val="18"/>
                </w:rPr>
                <w:t>190 kg</w:t>
              </w:r>
            </w:smartTag>
            <w:r w:rsidRPr="00557812">
              <w:rPr>
                <w:rFonts w:ascii="Bookman Old Style" w:hAnsi="Bookman Old Style"/>
                <w:sz w:val="18"/>
                <w:szCs w:val="18"/>
              </w:rPr>
              <w:t>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22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Deklaracja zgodności.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23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Dostępność części zamiennych w okresie min. 10 lat.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24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Możliwość wyboru koloru materaców. Min cztery kolory.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25</w:t>
            </w:r>
          </w:p>
        </w:tc>
        <w:tc>
          <w:tcPr>
            <w:tcW w:w="311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 xml:space="preserve">Wyposażenie : </w:t>
            </w:r>
          </w:p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- barierki boczne.</w:t>
            </w:r>
          </w:p>
        </w:tc>
        <w:tc>
          <w:tcPr>
            <w:tcW w:w="693" w:type="pct"/>
            <w:shd w:val="clear" w:color="auto" w:fill="auto"/>
            <w:vAlign w:val="center"/>
          </w:tcPr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Fonts w:ascii="Bookman Old Style" w:hAnsi="Bookman Old Style"/>
                <w:sz w:val="18"/>
                <w:szCs w:val="18"/>
              </w:rPr>
              <w:t>Tak</w:t>
            </w:r>
          </w:p>
          <w:p w:rsidR="00B21655" w:rsidRPr="00557812" w:rsidRDefault="00B21655" w:rsidP="00C52F85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952" w:type="pct"/>
            <w:shd w:val="clear" w:color="auto" w:fill="auto"/>
            <w:vAlign w:val="center"/>
          </w:tcPr>
          <w:p w:rsidR="00B21655" w:rsidRPr="00557812" w:rsidRDefault="00B21655" w:rsidP="00C52F85">
            <w:pPr>
              <w:rPr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5000" w:type="pct"/>
            <w:gridSpan w:val="4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b/>
                <w:sz w:val="18"/>
                <w:szCs w:val="18"/>
              </w:rPr>
              <w:t>Warunki gwarancji</w:t>
            </w: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26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Instrukcja obsługi urządzenia w języku polskim.</w:t>
            </w:r>
          </w:p>
        </w:tc>
        <w:tc>
          <w:tcPr>
            <w:tcW w:w="693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27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Gwarancja zapewniona przez autoryzowany serwis producenta min. 24 miesięcy.</w:t>
            </w:r>
          </w:p>
        </w:tc>
        <w:tc>
          <w:tcPr>
            <w:tcW w:w="693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28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Bezpłatne przeglądy w czasie trwania gwarancji</w:t>
            </w: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br/>
              <w:t>- 1 przegląd w roku.</w:t>
            </w:r>
          </w:p>
        </w:tc>
        <w:tc>
          <w:tcPr>
            <w:tcW w:w="693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Tak, podać</w:t>
            </w:r>
          </w:p>
        </w:tc>
        <w:tc>
          <w:tcPr>
            <w:tcW w:w="952" w:type="pct"/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025AD5" w:rsidTr="00C52F85">
        <w:tc>
          <w:tcPr>
            <w:tcW w:w="245" w:type="pct"/>
            <w:vAlign w:val="center"/>
          </w:tcPr>
          <w:p w:rsidR="00B21655" w:rsidRPr="00025AD5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025AD5">
              <w:rPr>
                <w:rStyle w:val="HTML-akronim"/>
                <w:rFonts w:ascii="Bookman Old Style" w:hAnsi="Bookman Old Style"/>
                <w:sz w:val="18"/>
                <w:szCs w:val="18"/>
              </w:rPr>
              <w:t>29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025AD5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025AD5">
              <w:rPr>
                <w:rStyle w:val="HTML-akronim"/>
                <w:rFonts w:ascii="Bookman Old Style" w:hAnsi="Bookman Old Style"/>
                <w:sz w:val="18"/>
                <w:szCs w:val="18"/>
              </w:rPr>
              <w:t>Reakcja serwisu w ciągu max. 72 h w czasie trwania gwarancji jak i w okresie pogwarancyjnym.</w:t>
            </w:r>
          </w:p>
        </w:tc>
        <w:tc>
          <w:tcPr>
            <w:tcW w:w="693" w:type="pct"/>
            <w:vAlign w:val="center"/>
          </w:tcPr>
          <w:p w:rsidR="00B21655" w:rsidRPr="00025AD5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025AD5">
              <w:rPr>
                <w:rStyle w:val="HTML-akronim"/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vAlign w:val="center"/>
          </w:tcPr>
          <w:p w:rsidR="00B21655" w:rsidRPr="00025AD5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30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 xml:space="preserve">Możliwość kontaktu i konsultacji telefonicznej </w:t>
            </w: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br/>
              <w:t>z inżynierami serwisu w czasie trwania gwarancji jak i w okresie pogwarancyjnym.</w:t>
            </w:r>
          </w:p>
        </w:tc>
        <w:tc>
          <w:tcPr>
            <w:tcW w:w="693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31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Bezpłatna aktualizacja oprogramowania w czasie trwania gwarancji  jak i w okresie pogwarancyjnym.</w:t>
            </w:r>
          </w:p>
        </w:tc>
        <w:tc>
          <w:tcPr>
            <w:tcW w:w="693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32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Szkolenie użytkowników sprzętu w czasie trwania gwarancji jak i w czasie pogwarancyjnym.</w:t>
            </w:r>
          </w:p>
        </w:tc>
        <w:tc>
          <w:tcPr>
            <w:tcW w:w="693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  <w:tr w:rsidR="00B21655" w:rsidRPr="00557812" w:rsidTr="00C52F85">
        <w:tc>
          <w:tcPr>
            <w:tcW w:w="245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33</w:t>
            </w:r>
          </w:p>
        </w:tc>
        <w:tc>
          <w:tcPr>
            <w:tcW w:w="3110" w:type="pc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W okresie gwarancji w przypadku awarii sprzętu wymiana na sprzęt tej samej klasy lub wyższy na czas naprawy.</w:t>
            </w:r>
          </w:p>
        </w:tc>
        <w:tc>
          <w:tcPr>
            <w:tcW w:w="693" w:type="pct"/>
            <w:vAlign w:val="center"/>
          </w:tcPr>
          <w:p w:rsidR="00B21655" w:rsidRPr="00557812" w:rsidRDefault="00B21655" w:rsidP="00C52F85">
            <w:pPr>
              <w:pStyle w:val="Timesnewroman"/>
              <w:jc w:val="center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  <w:r w:rsidRPr="00557812">
              <w:rPr>
                <w:rStyle w:val="HTML-akronim"/>
                <w:rFonts w:ascii="Bookman Old Style" w:hAnsi="Bookman Old Style"/>
                <w:sz w:val="18"/>
                <w:szCs w:val="18"/>
              </w:rPr>
              <w:t>Tak</w:t>
            </w:r>
          </w:p>
        </w:tc>
        <w:tc>
          <w:tcPr>
            <w:tcW w:w="952" w:type="pct"/>
            <w:vAlign w:val="center"/>
          </w:tcPr>
          <w:p w:rsidR="00B21655" w:rsidRPr="00557812" w:rsidRDefault="00B21655" w:rsidP="00C52F85">
            <w:pPr>
              <w:pStyle w:val="Timesnewroman"/>
              <w:rPr>
                <w:rStyle w:val="HTML-akronim"/>
                <w:rFonts w:ascii="Bookman Old Style" w:hAnsi="Bookman Old Style"/>
                <w:sz w:val="18"/>
                <w:szCs w:val="18"/>
              </w:rPr>
            </w:pPr>
          </w:p>
        </w:tc>
      </w:tr>
    </w:tbl>
    <w:p w:rsidR="004C54BA" w:rsidRPr="00B21655" w:rsidRDefault="004C54BA">
      <w:pPr>
        <w:rPr>
          <w:b/>
        </w:rPr>
      </w:pPr>
    </w:p>
    <w:sectPr w:rsidR="004C54BA" w:rsidRPr="00B21655" w:rsidSect="00B21655">
      <w:pgSz w:w="11906" w:h="16838"/>
      <w:pgMar w:top="907" w:right="1418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655"/>
    <w:rsid w:val="004C54BA"/>
    <w:rsid w:val="00B21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B16957-8A81-47BB-AE24-A1DF16720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2165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TML-akronim">
    <w:name w:val="HTML Acronym"/>
    <w:basedOn w:val="Domylnaczcionkaakapitu"/>
    <w:rsid w:val="00B21655"/>
  </w:style>
  <w:style w:type="paragraph" w:customStyle="1" w:styleId="Timesnewroman">
    <w:name w:val="Times new roman"/>
    <w:basedOn w:val="Normalny"/>
    <w:rsid w:val="00B21655"/>
    <w:pPr>
      <w:widowControl w:val="0"/>
      <w:spacing w:after="0" w:line="259" w:lineRule="atLeast"/>
      <w:ind w:right="72"/>
    </w:pPr>
    <w:rPr>
      <w:rFonts w:ascii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641</Words>
  <Characters>3846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2018-11-08T10:39:00Z</dcterms:created>
  <dcterms:modified xsi:type="dcterms:W3CDTF">2018-11-08T10:41:00Z</dcterms:modified>
</cp:coreProperties>
</file>